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2" w:rsidRDefault="00BC4142" w:rsidP="00C95350">
      <w:pPr>
        <w:pStyle w:val="TableTitle"/>
      </w:pPr>
      <w:bookmarkStart w:id="0" w:name="_Toc268267301"/>
    </w:p>
    <w:p w:rsidR="00BC4142" w:rsidRDefault="00BC4142" w:rsidP="00C95350">
      <w:pPr>
        <w:pStyle w:val="TableTitle"/>
      </w:pPr>
    </w:p>
    <w:p w:rsidR="00BC4142" w:rsidRDefault="00BC4142" w:rsidP="00C95350">
      <w:pPr>
        <w:pStyle w:val="TableTitle"/>
      </w:pPr>
    </w:p>
    <w:p w:rsidR="00BC4142" w:rsidRDefault="00BC4142" w:rsidP="00C95350">
      <w:pPr>
        <w:pStyle w:val="TableTitle"/>
      </w:pPr>
    </w:p>
    <w:p w:rsidR="00BC4142" w:rsidRDefault="00BC4142" w:rsidP="00C95350">
      <w:pPr>
        <w:pStyle w:val="TableTitle"/>
      </w:pPr>
    </w:p>
    <w:p w:rsidR="00BC4142" w:rsidRDefault="00BC4142" w:rsidP="00C95350">
      <w:pPr>
        <w:pStyle w:val="TableTitle"/>
      </w:pPr>
    </w:p>
    <w:p w:rsidR="00BC4142" w:rsidRDefault="00BC4142" w:rsidP="00C95350">
      <w:pPr>
        <w:pStyle w:val="TableTitle"/>
      </w:pPr>
    </w:p>
    <w:p w:rsidR="000A1D92" w:rsidRDefault="000A1D92" w:rsidP="00C95350">
      <w:pPr>
        <w:pStyle w:val="TableTitle"/>
      </w:pPr>
      <w:proofErr w:type="gramStart"/>
      <w:r w:rsidRPr="001F46AA"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bookmarkEnd w:id="0"/>
      <w:r>
        <w:t xml:space="preserve"> for functional capacity and quality of life outcomes (KQ1 and KQ2)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90"/>
        <w:gridCol w:w="2209"/>
        <w:gridCol w:w="1429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388" w:type="dxa"/>
          </w:tcPr>
          <w:p w:rsidR="000A1D92" w:rsidRPr="00401AD9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654A8">
              <w:rPr>
                <w:rFonts w:ascii="Arial" w:hAnsi="Arial" w:cs="Arial"/>
                <w:b/>
                <w:bCs/>
                <w:sz w:val="18"/>
                <w:szCs w:val="18"/>
              </w:rPr>
              <w:t>Oral DMARD vs. Oral DMARD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01AD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Corticosteroid vs. Corticosteroid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1AD9">
              <w:rPr>
                <w:rFonts w:ascii="Arial" w:hAnsi="Arial" w:cs="Arial"/>
                <w:sz w:val="18"/>
                <w:szCs w:val="18"/>
                <w:lang w:val="it-IT"/>
              </w:rPr>
              <w:t xml:space="preserve">1 RCT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0A1D92" w:rsidRPr="00401AD9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</w:pPr>
            <w:r w:rsidRPr="00401AD9">
              <w:rPr>
                <w:rFonts w:ascii="Arial" w:hAnsi="Arial" w:cs="Arial"/>
                <w:sz w:val="18"/>
                <w:szCs w:val="18"/>
                <w:lang w:val="it-IT"/>
              </w:rPr>
              <w:t>N =143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</w:t>
            </w: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9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20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Greater improvement in functional capacity and quality of life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prednisolone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rPr>
          <w:jc w:val="center"/>
        </w:trPr>
        <w:tc>
          <w:tcPr>
            <w:tcW w:w="1388" w:type="dxa"/>
          </w:tcPr>
          <w:p w:rsidR="000A1D92" w:rsidRPr="00A0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01D92">
              <w:rPr>
                <w:rFonts w:ascii="Arial" w:hAnsi="Arial" w:cs="Arial"/>
                <w:b/>
                <w:sz w:val="18"/>
                <w:szCs w:val="18"/>
              </w:rPr>
              <w:t>Leflunomide</w:t>
            </w:r>
            <w:proofErr w:type="spellEnd"/>
            <w:r w:rsidRPr="00A01D92">
              <w:rPr>
                <w:rFonts w:ascii="Arial" w:hAnsi="Arial" w:cs="Arial"/>
                <w:b/>
                <w:sz w:val="18"/>
                <w:szCs w:val="18"/>
              </w:rPr>
              <w:t xml:space="preserve"> vs.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 xml:space="preserve">N = 1481 </w:t>
            </w:r>
          </w:p>
        </w:tc>
        <w:tc>
          <w:tcPr>
            <w:tcW w:w="121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RCTs/ 2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  <w:r w:rsidRPr="00A01D9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01D92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117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13D5E">
              <w:rPr>
                <w:rFonts w:ascii="Arial" w:hAnsi="Arial" w:cs="Arial"/>
                <w:sz w:val="18"/>
                <w:szCs w:val="18"/>
              </w:rPr>
              <w:t xml:space="preserve">No clinically significant difference for </w:t>
            </w:r>
            <w:r>
              <w:rPr>
                <w:rFonts w:ascii="Arial" w:hAnsi="Arial" w:cs="Arial"/>
                <w:sz w:val="18"/>
                <w:szCs w:val="18"/>
              </w:rPr>
              <w:t>change</w:t>
            </w:r>
            <w:r w:rsidRPr="00013D5E">
              <w:rPr>
                <w:rFonts w:ascii="Arial" w:hAnsi="Arial" w:cs="Arial"/>
                <w:sz w:val="18"/>
                <w:szCs w:val="18"/>
              </w:rPr>
              <w:t xml:space="preserve"> in functional 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13D5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13D5E">
              <w:rPr>
                <w:rFonts w:ascii="Arial" w:hAnsi="Arial" w:cs="Arial"/>
                <w:sz w:val="18"/>
                <w:szCs w:val="18"/>
              </w:rPr>
              <w:t xml:space="preserve">lthough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13D5E">
              <w:rPr>
                <w:rFonts w:ascii="Arial" w:hAnsi="Arial" w:cs="Arial"/>
                <w:sz w:val="18"/>
                <w:szCs w:val="18"/>
              </w:rPr>
              <w:t xml:space="preserve">ome results reached statistically significant differences favoring </w:t>
            </w:r>
            <w:proofErr w:type="spellStart"/>
            <w:r w:rsidRPr="00013D5E">
              <w:rPr>
                <w:rFonts w:ascii="Arial" w:hAnsi="Arial" w:cs="Arial"/>
                <w:sz w:val="18"/>
                <w:szCs w:val="18"/>
              </w:rPr>
              <w:t>leflunomide</w:t>
            </w:r>
            <w:proofErr w:type="spellEnd"/>
            <w:r w:rsidRPr="00013D5E">
              <w:rPr>
                <w:rFonts w:ascii="Arial" w:hAnsi="Arial" w:cs="Arial"/>
                <w:sz w:val="18"/>
                <w:szCs w:val="18"/>
              </w:rPr>
              <w:t xml:space="preserve"> (mean improvement in HAQ-DI: -0.45 vs. -0.26, </w:t>
            </w:r>
            <w:r w:rsidRPr="00013D5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13D5E">
              <w:rPr>
                <w:rFonts w:ascii="Arial" w:hAnsi="Arial" w:cs="Arial"/>
                <w:sz w:val="18"/>
                <w:szCs w:val="18"/>
              </w:rPr>
              <w:t xml:space="preserve"> ≤ 0.01), neither study reported a difference </w:t>
            </w:r>
            <w:r>
              <w:rPr>
                <w:rFonts w:ascii="Arial" w:hAnsi="Arial" w:cs="Arial"/>
                <w:sz w:val="18"/>
                <w:szCs w:val="18"/>
              </w:rPr>
              <w:t>reaching the MCID.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Greater improvement in quality of life (SF-36 physical summary score, but not mental summary score) with LE</w:t>
            </w:r>
            <w:r>
              <w:rPr>
                <w:rFonts w:ascii="Arial" w:hAnsi="Arial" w:cs="Arial"/>
                <w:sz w:val="18"/>
                <w:szCs w:val="18"/>
              </w:rPr>
              <w:t>F than MTX</w:t>
            </w:r>
          </w:p>
        </w:tc>
        <w:tc>
          <w:tcPr>
            <w:tcW w:w="1429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657F4D" w:rsidTr="000A1D92">
        <w:trPr>
          <w:jc w:val="center"/>
        </w:trPr>
        <w:tc>
          <w:tcPr>
            <w:tcW w:w="1388" w:type="dxa"/>
          </w:tcPr>
          <w:p w:rsidR="000A1D92" w:rsidRPr="00657F4D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7F4D">
              <w:rPr>
                <w:rFonts w:ascii="Arial" w:hAnsi="Arial" w:cs="Arial"/>
                <w:b/>
                <w:sz w:val="18"/>
                <w:szCs w:val="18"/>
              </w:rPr>
              <w:t>Leflunomide</w:t>
            </w:r>
            <w:proofErr w:type="spellEnd"/>
            <w:r w:rsidRPr="00657F4D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57F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57F4D">
              <w:rPr>
                <w:rFonts w:ascii="Arial" w:hAnsi="Arial" w:cs="Arial"/>
                <w:b/>
                <w:sz w:val="18"/>
                <w:szCs w:val="18"/>
              </w:rPr>
              <w:t>Sulfasalazine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N =</w:t>
            </w:r>
            <w:r>
              <w:rPr>
                <w:rFonts w:ascii="Arial" w:hAnsi="Arial" w:cs="Arial"/>
                <w:sz w:val="18"/>
                <w:szCs w:val="18"/>
              </w:rPr>
              <w:t xml:space="preserve"> 358</w:t>
            </w:r>
          </w:p>
        </w:tc>
        <w:tc>
          <w:tcPr>
            <w:tcW w:w="1212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Greater</w:t>
            </w:r>
            <w:r w:rsidRPr="00657F4D">
              <w:rPr>
                <w:rFonts w:ascii="Arial" w:hAnsi="Arial" w:cs="Arial"/>
                <w:sz w:val="18"/>
                <w:szCs w:val="18"/>
              </w:rPr>
              <w:t xml:space="preserve"> improvement in functional capacity with LEF than SSZ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</w:tcPr>
          <w:p w:rsidR="000A1D92" w:rsidRPr="00657F4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57F4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962929" w:rsidTr="000A1D92">
        <w:trPr>
          <w:jc w:val="center"/>
        </w:trPr>
        <w:tc>
          <w:tcPr>
            <w:tcW w:w="1388" w:type="dxa"/>
          </w:tcPr>
          <w:p w:rsidR="000A1D92" w:rsidRPr="00962929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62929">
              <w:rPr>
                <w:rFonts w:ascii="Arial" w:hAnsi="Arial" w:cs="Arial"/>
                <w:b/>
                <w:sz w:val="18"/>
                <w:szCs w:val="18"/>
              </w:rPr>
              <w:t>Sulfasalazine</w:t>
            </w:r>
            <w:proofErr w:type="spellEnd"/>
            <w:r w:rsidRPr="00962929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62929">
              <w:rPr>
                <w:rFonts w:ascii="Arial" w:hAnsi="Arial" w:cs="Arial"/>
                <w:b/>
                <w:sz w:val="18"/>
                <w:szCs w:val="18"/>
              </w:rPr>
              <w:t xml:space="preserve"> MTX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3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 xml:space="preserve">N = </w:t>
            </w: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212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RCT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62929">
              <w:rPr>
                <w:rFonts w:ascii="Arial" w:hAnsi="Arial" w:cs="Arial"/>
                <w:sz w:val="18"/>
                <w:szCs w:val="18"/>
              </w:rPr>
              <w:t>/Fair</w:t>
            </w:r>
          </w:p>
        </w:tc>
        <w:tc>
          <w:tcPr>
            <w:tcW w:w="1170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62929">
              <w:rPr>
                <w:rFonts w:ascii="Arial" w:hAnsi="Arial" w:cs="Arial"/>
                <w:sz w:val="18"/>
                <w:szCs w:val="18"/>
              </w:rPr>
              <w:t>No difference in functional capacity</w:t>
            </w: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0A1D92" w:rsidRPr="00962929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</w:tbl>
    <w:p w:rsidR="000A1D92" w:rsidRDefault="000A1D92" w:rsidP="00C95350">
      <w:pPr>
        <w:pStyle w:val="TableTitle"/>
      </w:pPr>
      <w:proofErr w:type="gramStart"/>
      <w:r w:rsidRPr="001F46AA">
        <w:lastRenderedPageBreak/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r>
        <w:t xml:space="preserve"> for functional capacity and quality of life outcomes (KQ1 and KQ2) (continued</w:t>
      </w:r>
      <w:r w:rsidR="001A3E28">
        <w:t>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90"/>
        <w:gridCol w:w="2209"/>
        <w:gridCol w:w="1429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Pr="00793EB1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0E7E">
              <w:rPr>
                <w:rFonts w:ascii="Arial" w:hAnsi="Arial" w:cs="Arial"/>
                <w:b/>
                <w:sz w:val="18"/>
                <w:szCs w:val="18"/>
              </w:rPr>
              <w:t xml:space="preserve">Oral DMARD Combinations vs. </w:t>
            </w:r>
            <w:proofErr w:type="spellStart"/>
            <w:r w:rsidRPr="00FC0E7E">
              <w:rPr>
                <w:rFonts w:ascii="Arial" w:hAnsi="Arial" w:cs="Arial"/>
                <w:b/>
                <w:sz w:val="18"/>
                <w:szCs w:val="18"/>
              </w:rPr>
              <w:t>Monotherapy</w:t>
            </w:r>
            <w:proofErr w:type="spellEnd"/>
            <w:r w:rsidRPr="00FC0E7E">
              <w:rPr>
                <w:rFonts w:ascii="Arial" w:hAnsi="Arial" w:cs="Arial"/>
                <w:b/>
                <w:sz w:val="18"/>
                <w:szCs w:val="18"/>
              </w:rPr>
              <w:t xml:space="preserve"> or Combinations with or without </w:t>
            </w:r>
            <w:proofErr w:type="spellStart"/>
            <w:r w:rsidRPr="00FC0E7E">
              <w:rPr>
                <w:rFonts w:ascii="Arial" w:hAnsi="Arial" w:cs="Arial"/>
                <w:b/>
                <w:sz w:val="18"/>
                <w:szCs w:val="18"/>
              </w:rPr>
              <w:t>Corticoster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C0E7E">
              <w:rPr>
                <w:rFonts w:ascii="Arial" w:hAnsi="Arial" w:cs="Arial"/>
                <w:b/>
                <w:sz w:val="18"/>
                <w:szCs w:val="18"/>
              </w:rPr>
              <w:t>oids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93EB1">
              <w:rPr>
                <w:rFonts w:ascii="Arial" w:hAnsi="Arial" w:cs="Arial"/>
                <w:b/>
                <w:sz w:val="18"/>
                <w:szCs w:val="18"/>
              </w:rPr>
              <w:t xml:space="preserve"> SSZ + MTX vs. SSZ or MTX </w:t>
            </w:r>
            <w:proofErr w:type="spellStart"/>
            <w:r w:rsidRPr="00793EB1">
              <w:rPr>
                <w:rFonts w:ascii="Arial" w:hAnsi="Arial" w:cs="Arial"/>
                <w:b/>
                <w:sz w:val="18"/>
                <w:szCs w:val="18"/>
              </w:rPr>
              <w:t>monotherapy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3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N = 479</w:t>
            </w:r>
          </w:p>
        </w:tc>
        <w:tc>
          <w:tcPr>
            <w:tcW w:w="1212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RCTs/Fair</w:t>
            </w:r>
          </w:p>
        </w:tc>
        <w:tc>
          <w:tcPr>
            <w:tcW w:w="1170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No difference in functional capacity</w:t>
            </w: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Pr="00793EB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Pr="00401AD9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01AD9">
              <w:rPr>
                <w:rFonts w:ascii="Arial" w:hAnsi="Arial" w:cs="Arial"/>
                <w:b/>
                <w:sz w:val="18"/>
                <w:szCs w:val="18"/>
                <w:lang w:val="it-IT"/>
              </w:rPr>
              <w:t>Oral DMARD + corticosteroid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95F">
              <w:rPr>
                <w:rFonts w:ascii="Arial" w:hAnsi="Arial" w:cs="Arial"/>
                <w:sz w:val="18"/>
                <w:szCs w:val="18"/>
              </w:rPr>
              <w:t>717</w:t>
            </w: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N = 467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RCTs/ Good, Fair</w:t>
            </w: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RCT/Good</w:t>
            </w:r>
          </w:p>
        </w:tc>
        <w:tc>
          <w:tcPr>
            <w:tcW w:w="1170" w:type="dxa"/>
          </w:tcPr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6E59E3">
              <w:rPr>
                <w:rFonts w:ascii="Arial" w:hAnsi="Arial" w:cs="Arial"/>
                <w:sz w:val="18"/>
                <w:szCs w:val="18"/>
              </w:rPr>
              <w:t>recise</w:t>
            </w: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0A1D92" w:rsidRPr="003B1C1C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E59E3">
              <w:rPr>
                <w:rFonts w:ascii="Arial" w:hAnsi="Arial" w:cs="Arial"/>
                <w:sz w:val="18"/>
                <w:szCs w:val="18"/>
              </w:rPr>
              <w:t xml:space="preserve">reater improvement in functional capacity for subjects treated with </w:t>
            </w:r>
            <w:r>
              <w:rPr>
                <w:rFonts w:ascii="Arial" w:hAnsi="Arial" w:cs="Arial"/>
                <w:sz w:val="18"/>
                <w:szCs w:val="18"/>
              </w:rPr>
              <w:t>oral DMARD</w:t>
            </w:r>
            <w:r w:rsidRPr="006E59E3">
              <w:rPr>
                <w:rFonts w:ascii="Arial" w:hAnsi="Arial" w:cs="Arial"/>
                <w:sz w:val="18"/>
                <w:szCs w:val="18"/>
              </w:rPr>
              <w:t xml:space="preserve"> plus </w:t>
            </w:r>
            <w:proofErr w:type="spellStart"/>
            <w:r w:rsidRPr="006E59E3">
              <w:rPr>
                <w:rFonts w:ascii="Arial" w:hAnsi="Arial" w:cs="Arial"/>
                <w:sz w:val="18"/>
                <w:szCs w:val="18"/>
              </w:rPr>
              <w:t>prednisolone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0A1D92" w:rsidRPr="003B1C1C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3EB1">
              <w:rPr>
                <w:rFonts w:ascii="Arial" w:hAnsi="Arial" w:cs="Arial"/>
                <w:sz w:val="18"/>
                <w:szCs w:val="18"/>
              </w:rPr>
              <w:t xml:space="preserve">No difference in </w:t>
            </w:r>
            <w:r>
              <w:rPr>
                <w:rFonts w:ascii="Arial" w:hAnsi="Arial" w:cs="Arial"/>
                <w:sz w:val="18"/>
                <w:szCs w:val="18"/>
              </w:rPr>
              <w:t>quality of life</w:t>
            </w:r>
          </w:p>
        </w:tc>
        <w:tc>
          <w:tcPr>
            <w:tcW w:w="1429" w:type="dxa"/>
          </w:tcPr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3B1C1C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5F">
              <w:rPr>
                <w:rFonts w:ascii="Arial" w:hAnsi="Arial" w:cs="Arial"/>
                <w:b/>
                <w:sz w:val="18"/>
                <w:szCs w:val="18"/>
              </w:rPr>
              <w:t>Biologic DMARD vs. Biologic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A0AD6">
              <w:rPr>
                <w:rFonts w:ascii="Arial" w:hAnsi="Arial" w:cs="Arial"/>
                <w:b/>
                <w:sz w:val="18"/>
                <w:szCs w:val="18"/>
              </w:rPr>
              <w:t xml:space="preserve"> ABA vs. INF</w:t>
            </w:r>
          </w:p>
          <w:p w:rsidR="000A1D92" w:rsidRPr="009A0AD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A0AD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>N = 431</w:t>
            </w:r>
          </w:p>
        </w:tc>
        <w:tc>
          <w:tcPr>
            <w:tcW w:w="1212" w:type="dxa"/>
          </w:tcPr>
          <w:p w:rsidR="000A1D92" w:rsidRPr="009A0AD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A0AD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9A0AD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9A0AD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9A0AD6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9A0AD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812D88">
              <w:rPr>
                <w:rFonts w:ascii="Arial" w:hAnsi="Arial" w:cs="Arial"/>
                <w:sz w:val="18"/>
                <w:szCs w:val="18"/>
              </w:rPr>
              <w:t>No difference in functional capacity</w:t>
            </w:r>
          </w:p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Statistically significant difference between groups for quality of life (SF-36 PCS but not MCS) that did not reach the MCID.</w:t>
            </w:r>
          </w:p>
        </w:tc>
        <w:tc>
          <w:tcPr>
            <w:tcW w:w="1429" w:type="dxa"/>
          </w:tcPr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812D88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12D8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812D88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Pr="00BB195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5F">
              <w:rPr>
                <w:rFonts w:ascii="Arial" w:hAnsi="Arial" w:cs="Arial"/>
                <w:b/>
                <w:sz w:val="18"/>
                <w:szCs w:val="18"/>
              </w:rPr>
              <w:t>ETN vs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B195F">
              <w:rPr>
                <w:rFonts w:ascii="Arial" w:hAnsi="Arial" w:cs="Arial"/>
                <w:b/>
                <w:sz w:val="18"/>
                <w:szCs w:val="18"/>
              </w:rPr>
              <w:t xml:space="preserve"> INF</w:t>
            </w: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prospective cohort studies;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N = 2239</w:t>
            </w:r>
          </w:p>
        </w:tc>
        <w:tc>
          <w:tcPr>
            <w:tcW w:w="1212" w:type="dxa"/>
          </w:tcPr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cohorts/</w:t>
            </w:r>
            <w:r w:rsidRPr="00BB195F">
              <w:rPr>
                <w:rFonts w:ascii="Arial" w:hAnsi="Arial" w:cs="Arial"/>
                <w:sz w:val="18"/>
                <w:szCs w:val="18"/>
              </w:rPr>
              <w:t>3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 to High</w:t>
            </w: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cohort/1 Fair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DA07BC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DA07B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DA07BC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DA07BC">
              <w:rPr>
                <w:rFonts w:ascii="Arial" w:hAnsi="Arial" w:cs="Arial"/>
                <w:sz w:val="18"/>
                <w:szCs w:val="18"/>
              </w:rPr>
              <w:t>Mixed results for functional capacity (2 of 3 studies reported no difference</w:t>
            </w:r>
            <w:r>
              <w:rPr>
                <w:rFonts w:ascii="Arial" w:hAnsi="Arial" w:cs="Arial"/>
                <w:sz w:val="18"/>
                <w:szCs w:val="18"/>
              </w:rPr>
              <w:t>; 1 favored ETN</w:t>
            </w:r>
            <w:r w:rsidRPr="00DA07B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43B89">
              <w:rPr>
                <w:rFonts w:ascii="Arial" w:hAnsi="Arial" w:cs="Arial"/>
                <w:sz w:val="18"/>
                <w:szCs w:val="18"/>
              </w:rPr>
              <w:t xml:space="preserve">Reported statistically significantly greater improvement in quality of life with </w:t>
            </w:r>
            <w:r>
              <w:rPr>
                <w:rFonts w:ascii="Arial" w:hAnsi="Arial" w:cs="Arial"/>
                <w:sz w:val="18"/>
                <w:szCs w:val="18"/>
              </w:rPr>
              <w:t>ETN</w:t>
            </w:r>
            <w:r w:rsidRPr="00A43B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43B89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A43B89">
              <w:rPr>
                <w:rFonts w:ascii="Arial" w:hAnsi="Arial" w:cs="Arial"/>
                <w:sz w:val="18"/>
                <w:szCs w:val="18"/>
              </w:rPr>
              <w:t xml:space="preserve"> = 0.001), but data NR (in Figure only) and CIs appear to overlap in the Figure </w:t>
            </w:r>
          </w:p>
        </w:tc>
        <w:tc>
          <w:tcPr>
            <w:tcW w:w="1429" w:type="dxa"/>
          </w:tcPr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DA07BC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 vs. ETN</w:t>
            </w:r>
          </w:p>
          <w:p w:rsidR="000A1D92" w:rsidRPr="00B2454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1 prospective cohort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 xml:space="preserve"> N = 707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 to High</w:t>
            </w: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</w:t>
            </w:r>
            <w:r w:rsidRPr="00B2454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No difference in functional capacity</w:t>
            </w: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 xml:space="preserve">No difference in quality of life </w:t>
            </w:r>
          </w:p>
        </w:tc>
        <w:tc>
          <w:tcPr>
            <w:tcW w:w="1429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C95350">
      <w:pPr>
        <w:pStyle w:val="TableTitle"/>
      </w:pPr>
      <w:proofErr w:type="gramStart"/>
      <w:r w:rsidRPr="001F46AA">
        <w:lastRenderedPageBreak/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r>
        <w:t xml:space="preserve"> for functional capacity and quality of life outcomes (KQ1 and KQ2) (continued</w:t>
      </w:r>
      <w:r w:rsidR="001A3E28">
        <w:t>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0"/>
        <w:gridCol w:w="900"/>
        <w:gridCol w:w="2209"/>
        <w:gridCol w:w="41"/>
        <w:gridCol w:w="1388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 vs. INF</w:t>
            </w:r>
          </w:p>
          <w:p w:rsidR="000A1D92" w:rsidRPr="00B2454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1 prospective cohort;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N = 707</w:t>
            </w:r>
          </w:p>
        </w:tc>
        <w:tc>
          <w:tcPr>
            <w:tcW w:w="1212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Medium</w:t>
            </w:r>
            <w:r>
              <w:rPr>
                <w:rFonts w:ascii="Arial" w:hAnsi="Arial" w:cs="Arial"/>
                <w:sz w:val="18"/>
                <w:szCs w:val="18"/>
              </w:rPr>
              <w:t xml:space="preserve"> to High</w:t>
            </w: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</w:t>
            </w:r>
            <w:r w:rsidRPr="00B2454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90" w:type="dxa"/>
            <w:gridSpan w:val="2"/>
          </w:tcPr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24540">
              <w:rPr>
                <w:rFonts w:ascii="Arial" w:hAnsi="Arial" w:cs="Arial"/>
                <w:sz w:val="18"/>
                <w:szCs w:val="18"/>
              </w:rPr>
              <w:t>recise</w:t>
            </w:r>
          </w:p>
        </w:tc>
        <w:tc>
          <w:tcPr>
            <w:tcW w:w="2209" w:type="dxa"/>
          </w:tcPr>
          <w:p w:rsidR="000A1D92" w:rsidRPr="00DA07BC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Statistically significant difference between groups favoring ADA for </w:t>
            </w:r>
            <w:r w:rsidRPr="00DA07BC">
              <w:rPr>
                <w:rFonts w:ascii="Arial" w:hAnsi="Arial" w:cs="Arial"/>
                <w:sz w:val="18"/>
                <w:szCs w:val="18"/>
              </w:rPr>
              <w:t xml:space="preserve">improvement in </w:t>
            </w:r>
            <w:r>
              <w:rPr>
                <w:rFonts w:ascii="Arial" w:hAnsi="Arial" w:cs="Arial"/>
                <w:sz w:val="18"/>
                <w:szCs w:val="18"/>
              </w:rPr>
              <w:t xml:space="preserve">functional capacity that did not reach the MCID (mean change in HAQ: -0.42 vs. -0.26, </w:t>
            </w:r>
            <w:r w:rsidRPr="00B34EB5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&lt; 0.05)</w:t>
            </w: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Reported statistically significantly g</w:t>
            </w:r>
            <w:r w:rsidRPr="00DA07BC">
              <w:rPr>
                <w:rFonts w:ascii="Arial" w:hAnsi="Arial" w:cs="Arial"/>
                <w:sz w:val="18"/>
                <w:szCs w:val="18"/>
              </w:rPr>
              <w:t xml:space="preserve">reater improvement in quality of life </w:t>
            </w:r>
            <w:r>
              <w:rPr>
                <w:rFonts w:ascii="Arial" w:hAnsi="Arial" w:cs="Arial"/>
                <w:sz w:val="18"/>
                <w:szCs w:val="18"/>
              </w:rPr>
              <w:t>with ADA (</w:t>
            </w:r>
            <w:r w:rsidRPr="00B34EB5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= 0.001), but data NR (in Figure only) and CIs appear to overlap in the Figure</w:t>
            </w:r>
          </w:p>
        </w:tc>
        <w:tc>
          <w:tcPr>
            <w:tcW w:w="1429" w:type="dxa"/>
            <w:gridSpan w:val="2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24540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2454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Biologic DMARD vs. Oral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D3A34">
              <w:rPr>
                <w:rFonts w:ascii="Arial" w:hAnsi="Arial" w:cs="Arial"/>
                <w:b/>
                <w:sz w:val="18"/>
                <w:szCs w:val="18"/>
              </w:rPr>
              <w:t xml:space="preserve"> ADA vs. MTX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A34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 = 799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 xml:space="preserve">Unknown, single study 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No difference in functional capacity for MTX naïve subjects with early RA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ETN vs. MTX</w:t>
            </w:r>
          </w:p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A34">
              <w:rPr>
                <w:rFonts w:ascii="Arial" w:hAnsi="Arial" w:cs="Arial"/>
                <w:sz w:val="18"/>
                <w:szCs w:val="18"/>
              </w:rPr>
              <w:t>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 =1318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 = 632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RCTs/1 Good, 1 Fair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RCT/1 Fair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Mixed results for functional capacity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Faster improvement in quality of life with ETN (greater improvement at 12 weeks, but no difference from weeks 16 to 52)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TCZ vs. MTX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 = 127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Greater improvement in functional capacity with TCZ than MTX (8mg/week) for patients with active RA and an inadequate response to MTX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A34">
              <w:rPr>
                <w:rFonts w:ascii="Arial" w:hAnsi="Arial" w:cs="Arial"/>
                <w:sz w:val="18"/>
                <w:szCs w:val="18"/>
              </w:rPr>
              <w:t>Insufficient</w:t>
            </w:r>
            <w:r w:rsidRPr="005D3A34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Biologic DMARD + Biologic DMARD vs. Biologic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D3A34">
              <w:rPr>
                <w:rFonts w:ascii="Arial" w:hAnsi="Arial" w:cs="Arial"/>
                <w:b/>
                <w:sz w:val="18"/>
                <w:szCs w:val="18"/>
              </w:rPr>
              <w:t xml:space="preserve"> ETN + ABA vs. 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1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 xml:space="preserve"> N = 121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No difference functional capacity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Greater improvement in physical, but not mental, health-related quality of life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C95350">
      <w:pPr>
        <w:pStyle w:val="TableTitle"/>
      </w:pPr>
      <w:r>
        <w:br w:type="page"/>
      </w:r>
      <w:proofErr w:type="gramStart"/>
      <w:r w:rsidRPr="001F46AA">
        <w:lastRenderedPageBreak/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r>
        <w:t xml:space="preserve"> for functional capacity and quality of life outcomes (KQ1 and KQ2) (continued</w:t>
      </w:r>
      <w:r w:rsidR="001A3E28">
        <w:t>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0"/>
        <w:gridCol w:w="900"/>
        <w:gridCol w:w="2250"/>
        <w:gridCol w:w="1388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5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38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 xml:space="preserve">Any Biologic DMARDs + Oral DMARDs vs. Biologic </w:t>
            </w:r>
            <w:proofErr w:type="spellStart"/>
            <w:r w:rsidRPr="005D3A34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r w:rsidRPr="001D5A4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b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2 RCTs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N = 1495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RCTs/1 Good, 1 Fair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RCT/1 Good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Greater improvement in functional capacity with biologic + MTX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Greater improvement in quality of life with biologic + MTX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5D3A34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 xml:space="preserve">Biologic DMARD + MTX vs. Biologic DMARD in MTX naïve subjects or those not recently on </w:t>
            </w:r>
            <w:proofErr w:type="spellStart"/>
            <w:r w:rsidRPr="005D3A34">
              <w:rPr>
                <w:rFonts w:ascii="Arial" w:hAnsi="Arial" w:cs="Arial"/>
                <w:b/>
                <w:sz w:val="18"/>
                <w:szCs w:val="18"/>
              </w:rPr>
              <w:t>MTX</w:t>
            </w:r>
            <w:r w:rsidRPr="005D3A3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b</w:t>
            </w:r>
            <w:proofErr w:type="spellEnd"/>
            <w:r w:rsidRPr="001D5A4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D3A3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ADA+ MTX vs. ADA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D3A34">
              <w:rPr>
                <w:rFonts w:ascii="Arial" w:hAnsi="Arial" w:cs="Arial"/>
                <w:sz w:val="18"/>
                <w:szCs w:val="18"/>
                <w:lang w:val="es-ES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D3A34">
              <w:rPr>
                <w:rFonts w:ascii="Arial" w:hAnsi="Arial" w:cs="Arial"/>
                <w:sz w:val="18"/>
                <w:szCs w:val="18"/>
                <w:lang w:val="es-ES"/>
              </w:rPr>
              <w:t>N = 799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 xml:space="preserve">Greater improvement in functional capacity with </w:t>
            </w:r>
            <w:smartTag w:uri="urn:schemas-microsoft-com:office:smarttags" w:element="time">
              <w:smartTag w:uri="urn:schemas-microsoft-com:office:smarttags" w:element="City">
                <w:r w:rsidRPr="005D3A34">
                  <w:rPr>
                    <w:rFonts w:ascii="Arial" w:hAnsi="Arial" w:cs="Arial"/>
                    <w:sz w:val="18"/>
                    <w:szCs w:val="18"/>
                  </w:rPr>
                  <w:t>ADA</w:t>
                </w:r>
              </w:smartTag>
            </w:smartTag>
            <w:r w:rsidRPr="005D3A34">
              <w:rPr>
                <w:rFonts w:ascii="Arial" w:hAnsi="Arial" w:cs="Arial"/>
                <w:sz w:val="18"/>
                <w:szCs w:val="18"/>
              </w:rPr>
              <w:t xml:space="preserve"> + MTX for MTX-naïve subjects with early RA.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 w:rsidTr="000A1D92">
        <w:trPr>
          <w:jc w:val="center"/>
        </w:trPr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ETN + MTX vs. 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42F7">
              <w:rPr>
                <w:rFonts w:ascii="Arial" w:hAnsi="Arial" w:cs="Arial"/>
                <w:sz w:val="18"/>
                <w:szCs w:val="18"/>
              </w:rPr>
              <w:t>1 RCTs, 1 cohort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 xml:space="preserve">N = 696 </w:t>
            </w:r>
          </w:p>
        </w:tc>
        <w:tc>
          <w:tcPr>
            <w:tcW w:w="1212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RCT/ Good</w:t>
            </w:r>
          </w:p>
        </w:tc>
        <w:tc>
          <w:tcPr>
            <w:tcW w:w="117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 xml:space="preserve">Greater improvement in functional capacity and quality of life with ETN + MTX for subjects with active RA who failed at least 2 oral DMARDs, but </w:t>
            </w:r>
            <w:proofErr w:type="gramStart"/>
            <w:r w:rsidRPr="005D3A34">
              <w:rPr>
                <w:rFonts w:ascii="Arial" w:hAnsi="Arial" w:cs="Arial"/>
                <w:sz w:val="18"/>
                <w:szCs w:val="18"/>
              </w:rPr>
              <w:t>were</w:t>
            </w:r>
            <w:proofErr w:type="gramEnd"/>
            <w:r w:rsidRPr="005D3A34">
              <w:rPr>
                <w:rFonts w:ascii="Arial" w:hAnsi="Arial" w:cs="Arial"/>
                <w:sz w:val="18"/>
                <w:szCs w:val="18"/>
              </w:rPr>
              <w:t xml:space="preserve"> not on MTX for at least 6 months.</w:t>
            </w:r>
          </w:p>
        </w:tc>
        <w:tc>
          <w:tcPr>
            <w:tcW w:w="1388" w:type="dxa"/>
            <w:shd w:val="clear" w:color="auto" w:fill="auto"/>
          </w:tcPr>
          <w:p w:rsidR="000A1D92" w:rsidRPr="005D3A34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3A3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16C3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34B">
              <w:rPr>
                <w:rFonts w:ascii="Arial" w:hAnsi="Arial" w:cs="Arial"/>
                <w:b/>
                <w:sz w:val="18"/>
                <w:szCs w:val="18"/>
              </w:rPr>
              <w:t>Biologic DMARD + Oral DMARD vs. Biologic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subjects with active RA despite treatment with the same Oral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r w:rsidRPr="002A17A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b</w:t>
            </w:r>
            <w:proofErr w:type="spellEnd"/>
            <w:r w:rsidRPr="00416C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16C36">
              <w:rPr>
                <w:rFonts w:ascii="Arial" w:hAnsi="Arial" w:cs="Arial"/>
                <w:b/>
                <w:sz w:val="18"/>
                <w:szCs w:val="18"/>
              </w:rPr>
              <w:t>ETN + DMARD vs. ETN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42F7">
              <w:rPr>
                <w:rFonts w:ascii="Arial" w:hAnsi="Arial" w:cs="Arial"/>
                <w:sz w:val="18"/>
                <w:szCs w:val="18"/>
              </w:rPr>
              <w:t>2 RCTs, 1 cohort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 xml:space="preserve">N = </w:t>
            </w:r>
            <w:r>
              <w:rPr>
                <w:rFonts w:ascii="Arial" w:hAnsi="Arial" w:cs="Arial"/>
                <w:sz w:val="18"/>
                <w:szCs w:val="18"/>
              </w:rPr>
              <w:t xml:space="preserve">3609 </w:t>
            </w:r>
          </w:p>
        </w:tc>
        <w:tc>
          <w:tcPr>
            <w:tcW w:w="1212" w:type="dxa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RCTs/2 Fair</w:t>
            </w:r>
          </w:p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Cohort/Fair</w:t>
            </w:r>
          </w:p>
        </w:tc>
        <w:tc>
          <w:tcPr>
            <w:tcW w:w="1170" w:type="dxa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  <w:gridSpan w:val="2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 xml:space="preserve">No difference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C357C7">
              <w:rPr>
                <w:rFonts w:ascii="Arial" w:hAnsi="Arial" w:cs="Arial"/>
                <w:sz w:val="18"/>
                <w:szCs w:val="18"/>
              </w:rPr>
              <w:t xml:space="preserve">functional capacity </w:t>
            </w:r>
          </w:p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No difference in quality of life</w:t>
            </w:r>
          </w:p>
        </w:tc>
        <w:tc>
          <w:tcPr>
            <w:tcW w:w="1388" w:type="dxa"/>
          </w:tcPr>
          <w:p w:rsidR="000A1D92" w:rsidRPr="00C357C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357C7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</w:tbl>
    <w:p w:rsidR="000A1D92" w:rsidRDefault="000A1D92"/>
    <w:p w:rsidR="000A1D92" w:rsidRDefault="000A1D92" w:rsidP="00C95350">
      <w:pPr>
        <w:pStyle w:val="TableTitle"/>
      </w:pPr>
      <w:r>
        <w:br w:type="page"/>
      </w:r>
      <w:proofErr w:type="gramStart"/>
      <w:r w:rsidRPr="001F46AA">
        <w:lastRenderedPageBreak/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r>
        <w:t xml:space="preserve"> for functional capacity and quality of life outcomes (KQ1 and KQ2) (continued</w:t>
      </w:r>
      <w:r w:rsidR="001A3E28">
        <w:t>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0"/>
        <w:gridCol w:w="900"/>
        <w:gridCol w:w="2209"/>
        <w:gridCol w:w="41"/>
        <w:gridCol w:w="1388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669F">
              <w:rPr>
                <w:rFonts w:ascii="Arial" w:hAnsi="Arial" w:cs="Arial"/>
                <w:b/>
                <w:sz w:val="18"/>
                <w:szCs w:val="18"/>
              </w:rPr>
              <w:t>Any Biologic DMARDs + Oral DMARD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42F7">
              <w:rPr>
                <w:rFonts w:ascii="Arial" w:hAnsi="Arial" w:cs="Arial"/>
                <w:sz w:val="18"/>
                <w:szCs w:val="18"/>
              </w:rPr>
              <w:t>7 RCTs, 1 cohort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N = 7516</w:t>
            </w:r>
          </w:p>
        </w:tc>
        <w:tc>
          <w:tcPr>
            <w:tcW w:w="1212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RCTs/ 5 Fair, 2 Good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Cohort/Fair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RCTs/3 Fair, 1 Good</w:t>
            </w:r>
          </w:p>
        </w:tc>
        <w:tc>
          <w:tcPr>
            <w:tcW w:w="117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Greater improvement in functional capacity with biologic + oral DMARD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Greater improvement in quality of life with biologic + oral DMARD</w:t>
            </w:r>
          </w:p>
        </w:tc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0421">
              <w:rPr>
                <w:rFonts w:ascii="Arial" w:hAnsi="Arial" w:cs="Arial"/>
                <w:b/>
                <w:sz w:val="18"/>
                <w:szCs w:val="18"/>
              </w:rPr>
              <w:t>Biologic DMARD + Oral DMARD vs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30421">
              <w:rPr>
                <w:rFonts w:ascii="Arial" w:hAnsi="Arial" w:cs="Arial"/>
                <w:b/>
                <w:sz w:val="18"/>
                <w:szCs w:val="18"/>
              </w:rPr>
              <w:t xml:space="preserve"> Oral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8669F">
              <w:rPr>
                <w:rFonts w:ascii="Arial" w:hAnsi="Arial" w:cs="Arial"/>
                <w:b/>
                <w:sz w:val="18"/>
                <w:szCs w:val="18"/>
              </w:rPr>
              <w:t xml:space="preserve"> ABA + MTX vs. MTX</w:t>
            </w:r>
          </w:p>
          <w:p w:rsidR="000A1D92" w:rsidRPr="0048669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 xml:space="preserve"> N = 509</w:t>
            </w:r>
          </w:p>
        </w:tc>
        <w:tc>
          <w:tcPr>
            <w:tcW w:w="1212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RCT/Good</w:t>
            </w:r>
          </w:p>
        </w:tc>
        <w:tc>
          <w:tcPr>
            <w:tcW w:w="117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Statistically significant differences for improvement in functional capacity and quality of life (SF-36 PCS) with ABA + MTX, but differences did not reach MCIDs</w:t>
            </w:r>
          </w:p>
        </w:tc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16C3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time">
              <w:smartTag w:uri="urn:schemas-microsoft-com:office:smarttags" w:element="City">
                <w:r w:rsidRPr="00416C36">
                  <w:rPr>
                    <w:rFonts w:ascii="Arial" w:hAnsi="Arial" w:cs="Arial"/>
                    <w:b/>
                    <w:sz w:val="18"/>
                    <w:szCs w:val="18"/>
                  </w:rPr>
                  <w:t>ADA</w:t>
                </w:r>
              </w:smartTag>
            </w:smartTag>
            <w:r w:rsidRPr="00416C36">
              <w:rPr>
                <w:rFonts w:ascii="Arial" w:hAnsi="Arial" w:cs="Arial"/>
                <w:b/>
                <w:sz w:val="18"/>
                <w:szCs w:val="18"/>
              </w:rPr>
              <w:t xml:space="preserve"> + MTX vs. MTX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N = 799</w:t>
            </w:r>
          </w:p>
        </w:tc>
        <w:tc>
          <w:tcPr>
            <w:tcW w:w="1212" w:type="dxa"/>
          </w:tcPr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 xml:space="preserve">Greater improvement in functional capacity with </w:t>
            </w:r>
            <w:smartTag w:uri="urn:schemas-microsoft-com:office:smarttags" w:element="time">
              <w:smartTag w:uri="urn:schemas-microsoft-com:office:smarttags" w:element="City">
                <w:r w:rsidRPr="0004359B">
                  <w:rPr>
                    <w:rFonts w:ascii="Arial" w:hAnsi="Arial" w:cs="Arial"/>
                    <w:sz w:val="18"/>
                    <w:szCs w:val="18"/>
                  </w:rPr>
                  <w:t>ADA</w:t>
                </w:r>
              </w:smartTag>
            </w:smartTag>
            <w:r w:rsidRPr="0004359B">
              <w:rPr>
                <w:rFonts w:ascii="Arial" w:hAnsi="Arial" w:cs="Arial"/>
                <w:sz w:val="18"/>
                <w:szCs w:val="18"/>
              </w:rPr>
              <w:t xml:space="preserve"> + MTX</w:t>
            </w:r>
          </w:p>
        </w:tc>
        <w:tc>
          <w:tcPr>
            <w:tcW w:w="1388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16C3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C36">
              <w:rPr>
                <w:rFonts w:ascii="Arial" w:hAnsi="Arial" w:cs="Arial"/>
                <w:b/>
                <w:sz w:val="18"/>
                <w:szCs w:val="18"/>
              </w:rPr>
              <w:t>ETN + oral DMARD vs. oral DM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16C36">
              <w:rPr>
                <w:rFonts w:ascii="Arial" w:hAnsi="Arial" w:cs="Arial"/>
                <w:b/>
                <w:sz w:val="18"/>
                <w:szCs w:val="18"/>
              </w:rPr>
              <w:t>RD (MTX or SSZ)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5D42F7">
              <w:rPr>
                <w:rFonts w:ascii="Arial" w:hAnsi="Arial" w:cs="Arial"/>
                <w:sz w:val="18"/>
                <w:szCs w:val="18"/>
              </w:rPr>
              <w:t>3 RCTs, 1 cohort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 xml:space="preserve">N = </w:t>
            </w:r>
            <w:r>
              <w:rPr>
                <w:rFonts w:ascii="Arial" w:hAnsi="Arial" w:cs="Arial"/>
                <w:sz w:val="18"/>
                <w:szCs w:val="18"/>
              </w:rPr>
              <w:t>4522</w:t>
            </w:r>
          </w:p>
        </w:tc>
        <w:tc>
          <w:tcPr>
            <w:tcW w:w="1212" w:type="dxa"/>
          </w:tcPr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RCTs/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416C36">
              <w:rPr>
                <w:rFonts w:ascii="Arial" w:hAnsi="Arial" w:cs="Arial"/>
                <w:sz w:val="18"/>
                <w:szCs w:val="18"/>
              </w:rPr>
              <w:t>Fair</w:t>
            </w:r>
            <w:r>
              <w:rPr>
                <w:rFonts w:ascii="Arial" w:hAnsi="Arial" w:cs="Arial"/>
                <w:sz w:val="18"/>
                <w:szCs w:val="18"/>
              </w:rPr>
              <w:t>, 1 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Cohort/Fair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 1 Fair, 1 Good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  <w:gridSpan w:val="2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Greater improvement in functional capacity with ETN +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 xml:space="preserve">Greater improvement in </w:t>
            </w:r>
            <w:r>
              <w:rPr>
                <w:rFonts w:ascii="Arial" w:hAnsi="Arial" w:cs="Arial"/>
                <w:sz w:val="18"/>
                <w:szCs w:val="18"/>
              </w:rPr>
              <w:t>quality of life</w:t>
            </w:r>
            <w:r w:rsidRPr="0004359B">
              <w:rPr>
                <w:rFonts w:ascii="Arial" w:hAnsi="Arial" w:cs="Arial"/>
                <w:sz w:val="18"/>
                <w:szCs w:val="18"/>
              </w:rPr>
              <w:t xml:space="preserve"> with ETN + oral DMARD</w:t>
            </w:r>
          </w:p>
        </w:tc>
        <w:tc>
          <w:tcPr>
            <w:tcW w:w="138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669F">
              <w:rPr>
                <w:rFonts w:ascii="Arial" w:hAnsi="Arial" w:cs="Arial"/>
                <w:b/>
                <w:sz w:val="18"/>
                <w:szCs w:val="18"/>
              </w:rPr>
              <w:t>GOL + MTX vs. MTX</w:t>
            </w:r>
          </w:p>
          <w:p w:rsidR="000A1D92" w:rsidRPr="0048669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1 RCT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 xml:space="preserve"> N = 637</w:t>
            </w:r>
          </w:p>
        </w:tc>
        <w:tc>
          <w:tcPr>
            <w:tcW w:w="1212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  <w:gridSpan w:val="2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 xml:space="preserve">Greater numerical improvement in functional capacity with GOL 50 + MTX compared with MTX, but difference was not statistically significantly (Median % improvement in HAQ-DI: 43.65 vs. 36.95, </w:t>
            </w:r>
            <w:r w:rsidRPr="0048669F">
              <w:rPr>
                <w:rFonts w:ascii="Arial" w:hAnsi="Arial" w:cs="Arial"/>
                <w:i/>
                <w:sz w:val="18"/>
                <w:szCs w:val="18"/>
              </w:rPr>
              <w:t xml:space="preserve">P </w:t>
            </w:r>
            <w:r w:rsidRPr="0048669F">
              <w:rPr>
                <w:rFonts w:ascii="Arial" w:hAnsi="Arial" w:cs="Arial"/>
                <w:sz w:val="18"/>
                <w:szCs w:val="18"/>
              </w:rPr>
              <w:t>= 0.141)</w:t>
            </w:r>
          </w:p>
        </w:tc>
        <w:tc>
          <w:tcPr>
            <w:tcW w:w="1388" w:type="dxa"/>
          </w:tcPr>
          <w:p w:rsidR="000A1D92" w:rsidRPr="0048669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669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416C36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C36">
              <w:rPr>
                <w:rFonts w:ascii="Arial" w:hAnsi="Arial" w:cs="Arial"/>
                <w:b/>
                <w:sz w:val="18"/>
                <w:szCs w:val="18"/>
              </w:rPr>
              <w:t>INF + MTX vs. MTX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6C36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N = 1049</w:t>
            </w:r>
          </w:p>
        </w:tc>
        <w:tc>
          <w:tcPr>
            <w:tcW w:w="1212" w:type="dxa"/>
          </w:tcPr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16C3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16C36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Greater improvement in functional capacity and quality of life with INF + MTX</w:t>
            </w:r>
          </w:p>
        </w:tc>
        <w:tc>
          <w:tcPr>
            <w:tcW w:w="1388" w:type="dxa"/>
          </w:tcPr>
          <w:p w:rsidR="000A1D92" w:rsidRPr="0004359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4359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C95350">
      <w:pPr>
        <w:pStyle w:val="TableTitle"/>
      </w:pPr>
      <w:r>
        <w:br w:type="page"/>
      </w:r>
      <w:proofErr w:type="gramStart"/>
      <w:r w:rsidRPr="001F46AA">
        <w:lastRenderedPageBreak/>
        <w:t xml:space="preserve">Table </w:t>
      </w:r>
      <w:r>
        <w:t>2</w:t>
      </w:r>
      <w:r w:rsidRPr="001F46AA">
        <w:t>.</w:t>
      </w:r>
      <w:proofErr w:type="gramEnd"/>
      <w:r w:rsidRPr="001F46AA">
        <w:t xml:space="preserve"> </w:t>
      </w:r>
      <w:r w:rsidRPr="00983CFE">
        <w:t xml:space="preserve">Strength of </w:t>
      </w:r>
      <w:r>
        <w:t>e</w:t>
      </w:r>
      <w:r w:rsidRPr="00983CFE">
        <w:t>vidence</w:t>
      </w:r>
      <w:r>
        <w:t xml:space="preserve"> for functional capacity and quality of life outcomes (KQ1 and KQ2) (continued</w:t>
      </w:r>
      <w:r w:rsidR="001A3E28">
        <w:t>)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038"/>
        <w:gridCol w:w="90"/>
        <w:gridCol w:w="900"/>
        <w:gridCol w:w="2209"/>
        <w:gridCol w:w="41"/>
        <w:gridCol w:w="1388"/>
      </w:tblGrid>
      <w:tr w:rsidR="000A1D92" w:rsidRPr="00C93C3D" w:rsidTr="000A1D92">
        <w:trPr>
          <w:jc w:val="center"/>
        </w:trPr>
        <w:tc>
          <w:tcPr>
            <w:tcW w:w="13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90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84648">
        <w:trPr>
          <w:jc w:val="center"/>
        </w:trPr>
        <w:tc>
          <w:tcPr>
            <w:tcW w:w="1388" w:type="dxa"/>
          </w:tcPr>
          <w:p w:rsidR="000A1D92" w:rsidRPr="00484648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669F">
              <w:rPr>
                <w:rFonts w:ascii="Arial" w:hAnsi="Arial" w:cs="Arial"/>
                <w:b/>
                <w:sz w:val="18"/>
                <w:szCs w:val="18"/>
              </w:rPr>
              <w:t>Biologic DMARD + Oral DMARD vs. Biologic DMARD + Oral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84648">
              <w:rPr>
                <w:rFonts w:ascii="Arial" w:hAnsi="Arial" w:cs="Arial"/>
                <w:b/>
                <w:sz w:val="18"/>
                <w:szCs w:val="18"/>
              </w:rPr>
              <w:t xml:space="preserve"> Anti-TNF + MTX vs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84648">
              <w:rPr>
                <w:rFonts w:ascii="Arial" w:hAnsi="Arial" w:cs="Arial"/>
                <w:b/>
                <w:sz w:val="18"/>
                <w:szCs w:val="18"/>
              </w:rPr>
              <w:t xml:space="preserve"> anti-TNF </w:t>
            </w:r>
            <w:r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484648">
              <w:rPr>
                <w:rFonts w:ascii="Arial" w:hAnsi="Arial" w:cs="Arial"/>
                <w:b/>
                <w:sz w:val="18"/>
                <w:szCs w:val="18"/>
              </w:rPr>
              <w:t xml:space="preserve"> LEF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648">
              <w:rPr>
                <w:rFonts w:ascii="Arial" w:hAnsi="Arial" w:cs="Arial"/>
                <w:sz w:val="18"/>
                <w:szCs w:val="18"/>
              </w:rPr>
              <w:t>cohort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N = 1218</w:t>
            </w:r>
          </w:p>
        </w:tc>
        <w:tc>
          <w:tcPr>
            <w:tcW w:w="1212" w:type="dxa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84648">
              <w:rPr>
                <w:rFonts w:ascii="Arial" w:hAnsi="Arial" w:cs="Arial"/>
                <w:sz w:val="18"/>
                <w:szCs w:val="18"/>
              </w:rPr>
              <w:t>ohort/Fair</w:t>
            </w:r>
          </w:p>
        </w:tc>
        <w:tc>
          <w:tcPr>
            <w:tcW w:w="1170" w:type="dxa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50" w:type="dxa"/>
            <w:gridSpan w:val="2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No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484648">
              <w:rPr>
                <w:rFonts w:ascii="Arial" w:hAnsi="Arial" w:cs="Arial"/>
                <w:sz w:val="18"/>
                <w:szCs w:val="18"/>
              </w:rPr>
              <w:t xml:space="preserve"> functional capacity </w:t>
            </w:r>
          </w:p>
        </w:tc>
        <w:tc>
          <w:tcPr>
            <w:tcW w:w="1388" w:type="dxa"/>
          </w:tcPr>
          <w:p w:rsidR="000A1D92" w:rsidRPr="0048464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484648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b/>
                <w:sz w:val="18"/>
                <w:szCs w:val="18"/>
              </w:rPr>
              <w:t>Strategies in Early RA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061D7">
              <w:rPr>
                <w:rFonts w:ascii="Arial" w:hAnsi="Arial" w:cs="Arial"/>
                <w:b/>
                <w:sz w:val="18"/>
                <w:szCs w:val="18"/>
              </w:rPr>
              <w:t xml:space="preserve"> Two oral DMARDs plus corticosteroid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D7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N = 155</w:t>
            </w:r>
          </w:p>
        </w:tc>
        <w:tc>
          <w:tcPr>
            <w:tcW w:w="1212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RCT/Good</w:t>
            </w:r>
          </w:p>
        </w:tc>
        <w:tc>
          <w:tcPr>
            <w:tcW w:w="117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More rapid improvement </w:t>
            </w:r>
            <w:r w:rsidRPr="00C00786">
              <w:rPr>
                <w:rFonts w:ascii="Arial" w:hAnsi="Arial" w:cs="Arial"/>
                <w:sz w:val="18"/>
                <w:szCs w:val="18"/>
              </w:rPr>
              <w:t xml:space="preserve">in functional capacity </w:t>
            </w:r>
            <w:r>
              <w:rPr>
                <w:rFonts w:ascii="Arial" w:hAnsi="Arial" w:cs="Arial"/>
                <w:sz w:val="18"/>
                <w:szCs w:val="18"/>
              </w:rPr>
              <w:t xml:space="preserve">(comparing groups </w:t>
            </w:r>
            <w:r w:rsidRPr="00C00786">
              <w:rPr>
                <w:rFonts w:ascii="Arial" w:hAnsi="Arial" w:cs="Arial"/>
                <w:sz w:val="18"/>
                <w:szCs w:val="18"/>
              </w:rPr>
              <w:t>at 28 weeks</w:t>
            </w:r>
            <w:r>
              <w:rPr>
                <w:rFonts w:ascii="Arial" w:hAnsi="Arial" w:cs="Arial"/>
                <w:sz w:val="18"/>
                <w:szCs w:val="18"/>
              </w:rPr>
              <w:t>), but no difference by 56 weeks</w:t>
            </w:r>
          </w:p>
        </w:tc>
        <w:tc>
          <w:tcPr>
            <w:tcW w:w="1388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b/>
                <w:sz w:val="18"/>
                <w:szCs w:val="18"/>
              </w:rPr>
              <w:t>Three oral DMARDs plus corticosteroid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D7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N = 199</w:t>
            </w:r>
          </w:p>
        </w:tc>
        <w:tc>
          <w:tcPr>
            <w:tcW w:w="1212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RCT/Fair</w:t>
            </w:r>
          </w:p>
        </w:tc>
        <w:tc>
          <w:tcPr>
            <w:tcW w:w="117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work disability in the combination strategy group</w:t>
            </w:r>
          </w:p>
        </w:tc>
        <w:tc>
          <w:tcPr>
            <w:tcW w:w="1388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3B1C1C">
        <w:trPr>
          <w:jc w:val="center"/>
        </w:trPr>
        <w:tc>
          <w:tcPr>
            <w:tcW w:w="1388" w:type="dxa"/>
          </w:tcPr>
          <w:p w:rsidR="000A1D92" w:rsidRPr="001D5A4E" w:rsidRDefault="000A1D92" w:rsidP="000A1D92">
            <w:pPr>
              <w:pStyle w:val="TableText0"/>
              <w:rPr>
                <w:b/>
                <w:bCs/>
              </w:rPr>
            </w:pPr>
            <w:r w:rsidRPr="001D5A4E">
              <w:rPr>
                <w:b/>
                <w:bCs/>
              </w:rPr>
              <w:t xml:space="preserve">Other combination strategies: Sequential </w:t>
            </w:r>
            <w:proofErr w:type="spellStart"/>
            <w:r w:rsidRPr="001D5A4E">
              <w:rPr>
                <w:b/>
                <w:bCs/>
              </w:rPr>
              <w:t>monotherapy</w:t>
            </w:r>
            <w:proofErr w:type="spellEnd"/>
            <w:r w:rsidRPr="001D5A4E">
              <w:rPr>
                <w:b/>
                <w:bCs/>
              </w:rPr>
              <w:t xml:space="preserve"> vs. Step-up combination therapy vs. initial combination therapy with prednisone vs. initial combination therapy with </w:t>
            </w:r>
            <w:proofErr w:type="spellStart"/>
            <w:r w:rsidRPr="001D5A4E">
              <w:rPr>
                <w:b/>
                <w:bCs/>
              </w:rPr>
              <w:t>infliximab</w:t>
            </w:r>
            <w:proofErr w:type="spellEnd"/>
          </w:p>
          <w:p w:rsidR="000A1D92" w:rsidRDefault="000A1D92" w:rsidP="000A1D92">
            <w:pPr>
              <w:pStyle w:val="TableText-paraspace"/>
            </w:pPr>
            <w:r>
              <w:t xml:space="preserve">1 </w:t>
            </w:r>
            <w:r w:rsidRPr="00C061D7">
              <w:t>RCT</w:t>
            </w:r>
          </w:p>
          <w:p w:rsidR="000A1D92" w:rsidRPr="00C061D7" w:rsidRDefault="000A1D92" w:rsidP="000A1D92">
            <w:pPr>
              <w:pStyle w:val="TableText-paraspace"/>
            </w:pPr>
            <w:r w:rsidRPr="00C061D7">
              <w:t>N = 508</w:t>
            </w:r>
          </w:p>
        </w:tc>
        <w:tc>
          <w:tcPr>
            <w:tcW w:w="1212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C061D7" w:rsidRDefault="000A1D92" w:rsidP="000A1D92">
            <w:pPr>
              <w:pStyle w:val="TableText-paraspace"/>
            </w:pPr>
            <w:r w:rsidRPr="00C061D7">
              <w:t>RCT/Good</w:t>
            </w:r>
          </w:p>
        </w:tc>
        <w:tc>
          <w:tcPr>
            <w:tcW w:w="117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  <w:gridSpan w:val="2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50" w:type="dxa"/>
            <w:gridSpan w:val="2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rapid improvement in functional capacity in groups 3 and 4 than in groups 1 and 2(statistically significantly better at 3, 6, 9, and 12 months). By t</w:t>
            </w:r>
            <w:r w:rsidRPr="00570A06">
              <w:rPr>
                <w:rFonts w:ascii="Arial" w:hAnsi="Arial" w:cs="Arial"/>
                <w:sz w:val="18"/>
                <w:szCs w:val="18"/>
              </w:rPr>
              <w:t>wo years, improvement was maintained in all groups, but there were no statistically significant differences between groups</w:t>
            </w:r>
          </w:p>
          <w:p w:rsidR="000A1D92" w:rsidRPr="00C061D7" w:rsidRDefault="000A1D92" w:rsidP="000A1D92">
            <w:pPr>
              <w:pStyle w:val="TableText-paraspace"/>
            </w:pPr>
            <w:r>
              <w:t xml:space="preserve">Similar pattern was found for </w:t>
            </w:r>
            <w:r w:rsidRPr="00570A06">
              <w:t>improvement in physical health-related quality of life</w:t>
            </w:r>
          </w:p>
        </w:tc>
        <w:tc>
          <w:tcPr>
            <w:tcW w:w="1388" w:type="dxa"/>
          </w:tcPr>
          <w:p w:rsidR="000A1D92" w:rsidRPr="00C061D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9356BE">
      <w:pPr>
        <w:pStyle w:val="TableNote"/>
      </w:pPr>
      <w:r w:rsidRPr="00804BD3">
        <w:t xml:space="preserve">ABA, </w:t>
      </w:r>
      <w:proofErr w:type="spellStart"/>
      <w:r>
        <w:t>abatacept</w:t>
      </w:r>
      <w:proofErr w:type="spellEnd"/>
      <w:r w:rsidRPr="00804BD3">
        <w:t>; ADA,</w:t>
      </w:r>
      <w:r>
        <w:t xml:space="preserve"> </w:t>
      </w:r>
      <w:proofErr w:type="spellStart"/>
      <w:r>
        <w:t>adalimumab</w:t>
      </w:r>
      <w:proofErr w:type="spellEnd"/>
      <w:r w:rsidRPr="00804BD3">
        <w:t xml:space="preserve">; DMARD, </w:t>
      </w:r>
      <w:r w:rsidRPr="000B14B8">
        <w:t>disease</w:t>
      </w:r>
      <w:r>
        <w:t xml:space="preserve"> modifying </w:t>
      </w:r>
      <w:proofErr w:type="spellStart"/>
      <w:r>
        <w:t>antirheumatic</w:t>
      </w:r>
      <w:proofErr w:type="spellEnd"/>
      <w:r>
        <w:t xml:space="preserve"> drug</w:t>
      </w:r>
      <w:r w:rsidRPr="00804BD3">
        <w:t xml:space="preserve">; ETN, </w:t>
      </w:r>
      <w:proofErr w:type="spellStart"/>
      <w:r>
        <w:t>etanercept</w:t>
      </w:r>
      <w:proofErr w:type="spellEnd"/>
      <w:r w:rsidRPr="00804BD3">
        <w:t xml:space="preserve">; </w:t>
      </w:r>
      <w:r>
        <w:t xml:space="preserve">GOL, </w:t>
      </w:r>
      <w:proofErr w:type="spellStart"/>
      <w:r>
        <w:t>golimumab</w:t>
      </w:r>
      <w:proofErr w:type="spellEnd"/>
      <w:r>
        <w:t xml:space="preserve">; </w:t>
      </w:r>
      <w:r w:rsidRPr="00804BD3">
        <w:t xml:space="preserve">INF, </w:t>
      </w:r>
      <w:proofErr w:type="spellStart"/>
      <w:r w:rsidRPr="000B14B8">
        <w:t>infliximab</w:t>
      </w:r>
      <w:proofErr w:type="spellEnd"/>
      <w:r>
        <w:t>;</w:t>
      </w:r>
      <w:r w:rsidRPr="00804BD3">
        <w:t xml:space="preserve"> </w:t>
      </w:r>
      <w:r w:rsidRPr="00013D5E">
        <w:t>MCID</w:t>
      </w:r>
      <w:r>
        <w:t>, minimal clinically important difference;</w:t>
      </w:r>
      <w:r w:rsidRPr="00013D5E">
        <w:t xml:space="preserve"> </w:t>
      </w:r>
      <w:r w:rsidRPr="00804BD3">
        <w:t>MTX</w:t>
      </w:r>
      <w:r>
        <w:t xml:space="preserve">, </w:t>
      </w:r>
      <w:proofErr w:type="spellStart"/>
      <w:r w:rsidRPr="000B14B8">
        <w:t>methotrexate</w:t>
      </w:r>
      <w:proofErr w:type="spellEnd"/>
      <w:r>
        <w:t>;</w:t>
      </w:r>
      <w:r w:rsidRPr="00804BD3">
        <w:t xml:space="preserve"> N, number; RCT, randomized controlled trial; TC</w:t>
      </w:r>
      <w:r>
        <w:t xml:space="preserve">Z, </w:t>
      </w:r>
      <w:proofErr w:type="spellStart"/>
      <w:r>
        <w:t>tocilizumab</w:t>
      </w:r>
      <w:proofErr w:type="spellEnd"/>
      <w:r w:rsidRPr="00804BD3">
        <w:t>; vs., versus.</w:t>
      </w:r>
    </w:p>
    <w:p w:rsidR="000A1D92" w:rsidRDefault="000A1D92" w:rsidP="009356BE">
      <w:pPr>
        <w:pStyle w:val="TableNote"/>
        <w:ind w:right="720"/>
      </w:pPr>
      <w:r>
        <w:lastRenderedPageBreak/>
        <w:t>*This was considered imprecise based on the high degree of uncertainty around the effect size, partly due to one of the studies not reporting any quantitative information.</w:t>
      </w:r>
    </w:p>
    <w:p w:rsidR="000A1D92" w:rsidRDefault="000A1D92" w:rsidP="009356BE">
      <w:pPr>
        <w:pStyle w:val="TableNote"/>
        <w:ind w:right="-180"/>
      </w:pPr>
      <w:proofErr w:type="spellStart"/>
      <w:proofErr w:type="gramStart"/>
      <w:r w:rsidRPr="002208C3">
        <w:rPr>
          <w:vertAlign w:val="superscript"/>
        </w:rPr>
        <w:t>a</w:t>
      </w:r>
      <w:r w:rsidRPr="002208C3">
        <w:t>The</w:t>
      </w:r>
      <w:proofErr w:type="spellEnd"/>
      <w:proofErr w:type="gramEnd"/>
      <w:r w:rsidRPr="002208C3">
        <w:t xml:space="preserve"> dose of MTX used in this study is below the dose usually considered therapeutic. Thus, this study does not provide evidence to determine how </w:t>
      </w:r>
      <w:proofErr w:type="spellStart"/>
      <w:r w:rsidRPr="002208C3">
        <w:t>tocilizumab</w:t>
      </w:r>
      <w:proofErr w:type="spellEnd"/>
      <w:r w:rsidRPr="002208C3">
        <w:t xml:space="preserve"> compares with MTX as it is generally used in clinical practice.</w:t>
      </w:r>
    </w:p>
    <w:p w:rsidR="000A1D92" w:rsidRPr="003C2C8B" w:rsidRDefault="000A1D92" w:rsidP="009356BE">
      <w:pPr>
        <w:pStyle w:val="TableNote"/>
        <w:ind w:right="-180"/>
      </w:pPr>
      <w:proofErr w:type="spellStart"/>
      <w:proofErr w:type="gramStart"/>
      <w:r w:rsidRPr="003C2C8B">
        <w:rPr>
          <w:vertAlign w:val="superscript"/>
        </w:rPr>
        <w:t>b</w:t>
      </w:r>
      <w:r w:rsidRPr="003C2C8B">
        <w:t>For</w:t>
      </w:r>
      <w:proofErr w:type="spellEnd"/>
      <w:proofErr w:type="gramEnd"/>
      <w:r w:rsidRPr="003C2C8B">
        <w:t xml:space="preserve"> Biologic DMARD + Oral DMARD vs. Biologic DMARD, we stratified by population because results differed based on the population enrolled</w:t>
      </w:r>
    </w:p>
    <w:p w:rsidR="000A1D92" w:rsidRPr="002208C3" w:rsidRDefault="000A1D92" w:rsidP="009356BE">
      <w:pPr>
        <w:pStyle w:val="TableNote"/>
        <w:ind w:right="180"/>
      </w:pPr>
    </w:p>
    <w:p w:rsidR="000A1D92" w:rsidRDefault="000A1D92" w:rsidP="009356BE">
      <w:pPr>
        <w:pStyle w:val="TableNote"/>
      </w:pPr>
    </w:p>
    <w:p w:rsidR="00BE2FB2" w:rsidRPr="00E37481" w:rsidRDefault="00C106B5" w:rsidP="00C95350">
      <w:pPr>
        <w:pStyle w:val="TableTitle"/>
      </w:pPr>
      <w:r w:rsidRPr="00983CFE" w:rsidDel="00C106B5">
        <w:t xml:space="preserve"> </w:t>
      </w:r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C95350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32" w:rsidRDefault="00BE5932">
    <w:pPr>
      <w:pStyle w:val="Footer"/>
      <w:jc w:val="center"/>
    </w:pPr>
  </w:p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0AD3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430B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2D11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10FD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6BE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445A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4142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350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A7D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time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C95350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C95350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9356BE"/>
    <w:pPr>
      <w:ind w:right="-27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489C-E8E2-458F-B402-1DF234C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1661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Venture</cp:lastModifiedBy>
  <cp:revision>3</cp:revision>
  <cp:lastPrinted>2012-03-29T19:11:00Z</cp:lastPrinted>
  <dcterms:created xsi:type="dcterms:W3CDTF">2012-05-23T11:50:00Z</dcterms:created>
  <dcterms:modified xsi:type="dcterms:W3CDTF">2012-05-23T11:53:00Z</dcterms:modified>
</cp:coreProperties>
</file>